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center"/>
        <w:rPr>
          <w:rFonts w:cs="Times New Roman"/>
          <w:sz w:val="24"/>
          <w:szCs w:val="24"/>
          <w:lang w:val="ro-RO"/>
        </w:rPr>
      </w:pPr>
    </w:p>
    <w:p>
      <w:pPr>
        <w:spacing w:after="0" w:line="276" w:lineRule="auto"/>
        <w:jc w:val="center"/>
        <w:rPr>
          <w:rFonts w:cs="Times New Roman"/>
          <w:b/>
          <w:bCs/>
          <w:sz w:val="24"/>
          <w:szCs w:val="24"/>
          <w:lang w:val="ro-RO"/>
        </w:rPr>
      </w:pPr>
      <w:r>
        <w:rPr>
          <w:rFonts w:cs="Times New Roman"/>
          <w:b/>
          <w:bCs/>
          <w:sz w:val="24"/>
          <w:szCs w:val="24"/>
          <w:lang w:val="ro-RO"/>
        </w:rPr>
        <w:t>SAFE</w:t>
      </w:r>
    </w:p>
    <w:p>
      <w:pPr>
        <w:spacing w:after="0" w:line="276" w:lineRule="auto"/>
        <w:jc w:val="center"/>
        <w:rPr>
          <w:rFonts w:cs="Times New Roman"/>
          <w:b/>
          <w:bCs/>
          <w:sz w:val="24"/>
          <w:szCs w:val="24"/>
          <w:lang w:val="ro-RO"/>
        </w:rPr>
      </w:pPr>
      <w:r>
        <w:rPr>
          <w:rFonts w:cs="Times New Roman"/>
          <w:b/>
          <w:bCs/>
          <w:sz w:val="24"/>
          <w:szCs w:val="24"/>
          <w:lang w:val="ro-RO"/>
        </w:rPr>
        <w:t>Simple Agreement for Future Equity</w:t>
      </w:r>
    </w:p>
    <w:p>
      <w:pPr>
        <w:spacing w:after="0" w:line="276" w:lineRule="auto"/>
        <w:jc w:val="center"/>
        <w:rPr>
          <w:rFonts w:cs="Times New Roman"/>
          <w:b/>
          <w:bCs/>
          <w:sz w:val="24"/>
          <w:szCs w:val="24"/>
          <w:lang w:val="ro-RO"/>
        </w:rPr>
      </w:pPr>
    </w:p>
    <w:p>
      <w:pPr>
        <w:spacing w:after="0" w:line="276" w:lineRule="auto"/>
        <w:jc w:val="center"/>
        <w:rPr>
          <w:rFonts w:cs="Times New Roman"/>
          <w:b/>
          <w:bCs/>
          <w:sz w:val="24"/>
          <w:szCs w:val="24"/>
          <w:lang w:val="ro-RO"/>
        </w:rPr>
      </w:pPr>
      <w:r>
        <w:rPr>
          <w:rFonts w:cs="Times New Roman"/>
          <w:b/>
          <w:bCs/>
          <w:sz w:val="24"/>
          <w:szCs w:val="24"/>
          <w:lang w:val="ro-RO"/>
        </w:rPr>
        <w:t>(ACORD SIMPLU PENTRU ACȚIUNI VIITOARE)</w:t>
      </w:r>
    </w:p>
    <w:p>
      <w:pPr>
        <w:spacing w:after="0" w:line="276" w:lineRule="auto"/>
        <w:jc w:val="center"/>
        <w:rPr>
          <w:rFonts w:cs="Times New Roman"/>
          <w:sz w:val="24"/>
          <w:szCs w:val="24"/>
          <w:lang w:val="ro-RO"/>
        </w:rPr>
      </w:pPr>
    </w:p>
    <w:p>
      <w:pPr>
        <w:spacing w:after="0" w:line="276" w:lineRule="auto"/>
        <w:jc w:val="center"/>
        <w:rPr>
          <w:rFonts w:cs="Times New Roman"/>
          <w:sz w:val="24"/>
          <w:szCs w:val="24"/>
          <w:lang w:val="ro-RO"/>
        </w:rPr>
      </w:pPr>
    </w:p>
    <w:p>
      <w:pPr>
        <w:spacing w:after="0" w:line="276" w:lineRule="auto"/>
        <w:jc w:val="both"/>
        <w:rPr>
          <w:rFonts w:cs="Times New Roman"/>
          <w:sz w:val="24"/>
          <w:szCs w:val="24"/>
          <w:lang w:val="ro-RO"/>
        </w:rPr>
      </w:pPr>
      <w:r>
        <w:rPr>
          <w:rFonts w:cs="Times New Roman"/>
          <w:sz w:val="24"/>
          <w:szCs w:val="24"/>
          <w:lang w:val="ro-RO"/>
        </w:rPr>
        <w:t xml:space="preserve">Prin prezentul, se certifică faptul că, în schimbul </w:t>
      </w:r>
      <w:r>
        <w:rPr>
          <w:rFonts w:cs="Times New Roman"/>
          <w:b/>
          <w:bCs/>
          <w:sz w:val="24"/>
          <w:szCs w:val="24"/>
          <w:u w:val="single"/>
          <w:lang w:val="ro-RO"/>
        </w:rPr>
        <w:t>plății</w:t>
      </w:r>
      <w:r>
        <w:rPr>
          <w:rFonts w:cs="Times New Roman"/>
          <w:sz w:val="24"/>
          <w:szCs w:val="24"/>
          <w:lang w:val="ro-RO"/>
        </w:rPr>
        <w:t xml:space="preserve"> efectuate de [Nume Investitor] (denumi</w:t>
      </w:r>
      <w:bookmarkStart w:id="0" w:name="_GoBack"/>
      <w:bookmarkEnd w:id="0"/>
      <w:r>
        <w:rPr>
          <w:rFonts w:cs="Times New Roman"/>
          <w:sz w:val="24"/>
          <w:szCs w:val="24"/>
          <w:lang w:val="ro-RO"/>
        </w:rPr>
        <w:t>t „</w:t>
      </w:r>
      <w:r>
        <w:rPr>
          <w:rFonts w:cs="Times New Roman"/>
          <w:b/>
          <w:bCs/>
          <w:sz w:val="24"/>
          <w:szCs w:val="24"/>
          <w:u w:val="single"/>
          <w:lang w:val="ro-RO"/>
        </w:rPr>
        <w:t>Investitorul</w:t>
      </w:r>
      <w:r>
        <w:rPr>
          <w:rFonts w:cs="Times New Roman"/>
          <w:sz w:val="24"/>
          <w:szCs w:val="24"/>
          <w:lang w:val="ro-RO"/>
        </w:rPr>
        <w:t>”) în valoare de $[_____________] (denumită „Suma de Achiziție”) la sau aproximativ în data de [Data Safe] [</w:t>
      </w:r>
      <w:r>
        <w:rPr>
          <w:rFonts w:cs="Times New Roman"/>
          <w:b/>
          <w:bCs/>
          <w:sz w:val="24"/>
          <w:szCs w:val="24"/>
          <w:u w:val="single"/>
          <w:lang w:val="ro-RO"/>
        </w:rPr>
        <w:t>Nume Companiei</w:t>
      </w:r>
      <w:r>
        <w:rPr>
          <w:rFonts w:cs="Times New Roman"/>
          <w:sz w:val="24"/>
          <w:szCs w:val="24"/>
          <w:lang w:val="ro-RO"/>
        </w:rPr>
        <w:t>], o corporație înființată în [Stat de încorporare] (denumită „</w:t>
      </w:r>
      <w:r>
        <w:rPr>
          <w:rFonts w:cs="Times New Roman"/>
          <w:b/>
          <w:bCs/>
          <w:sz w:val="24"/>
          <w:szCs w:val="24"/>
          <w:u w:val="single"/>
          <w:lang w:val="ro-RO"/>
        </w:rPr>
        <w:t>Compania</w:t>
      </w:r>
      <w:r>
        <w:rPr>
          <w:rFonts w:cs="Times New Roman"/>
          <w:sz w:val="24"/>
          <w:szCs w:val="24"/>
          <w:lang w:val="ro-RO"/>
        </w:rPr>
        <w:t>”), emite Investitorului dreptul la anumite acțiuni din Capitalul Social al Companiei, sub rezerva termenilor descriși mai jos.</w:t>
      </w:r>
    </w:p>
    <w:p>
      <w:pPr>
        <w:spacing w:after="0" w:line="276" w:lineRule="auto"/>
        <w:jc w:val="both"/>
        <w:rPr>
          <w:rFonts w:cs="Times New Roman"/>
          <w:sz w:val="24"/>
          <w:szCs w:val="24"/>
          <w:lang w:val="ro-RO"/>
        </w:rPr>
      </w:pPr>
    </w:p>
    <w:p>
      <w:pPr>
        <w:spacing w:after="0" w:line="276" w:lineRule="auto"/>
        <w:jc w:val="both"/>
        <w:rPr>
          <w:rFonts w:cs="Times New Roman"/>
          <w:sz w:val="24"/>
          <w:szCs w:val="24"/>
          <w:lang w:val="ro-RO"/>
        </w:rPr>
      </w:pPr>
      <w:r>
        <w:rPr>
          <w:rFonts w:cs="Times New Roman"/>
          <w:sz w:val="24"/>
          <w:szCs w:val="24"/>
          <w:lang w:val="ro-RO"/>
        </w:rPr>
        <w:t xml:space="preserve">Valuation cap „Valoarea de Plafon Post-Investiție” este $[_____________]. </w:t>
      </w:r>
    </w:p>
    <w:p>
      <w:pPr>
        <w:spacing w:after="0" w:line="276" w:lineRule="auto"/>
        <w:jc w:val="both"/>
        <w:rPr>
          <w:rFonts w:cs="Times New Roman"/>
          <w:sz w:val="24"/>
          <w:szCs w:val="24"/>
          <w:lang w:val="ro-RO"/>
        </w:rPr>
      </w:pPr>
    </w:p>
    <w:p>
      <w:pPr>
        <w:pStyle w:val="6"/>
        <w:numPr>
          <w:ilvl w:val="0"/>
          <w:numId w:val="1"/>
        </w:numPr>
        <w:spacing w:after="0" w:line="276" w:lineRule="auto"/>
        <w:jc w:val="both"/>
        <w:rPr>
          <w:rFonts w:cs="Times New Roman"/>
          <w:b/>
          <w:bCs/>
          <w:sz w:val="24"/>
          <w:szCs w:val="24"/>
          <w:lang w:val="ro-RO"/>
        </w:rPr>
      </w:pPr>
      <w:r>
        <w:rPr>
          <w:rFonts w:cs="Times New Roman"/>
          <w:b/>
          <w:bCs/>
          <w:sz w:val="24"/>
          <w:szCs w:val="24"/>
          <w:lang w:val="ro-RO"/>
        </w:rPr>
        <w:t>EVENIMENTE</w:t>
      </w:r>
    </w:p>
    <w:p>
      <w:pPr>
        <w:pStyle w:val="6"/>
        <w:spacing w:after="0" w:line="276" w:lineRule="auto"/>
        <w:jc w:val="both"/>
        <w:rPr>
          <w:rFonts w:cs="Times New Roman"/>
          <w:b/>
          <w:bCs/>
          <w:sz w:val="24"/>
          <w:szCs w:val="24"/>
          <w:lang w:val="ro-RO"/>
        </w:rPr>
      </w:pPr>
    </w:p>
    <w:p>
      <w:pPr>
        <w:pStyle w:val="6"/>
        <w:numPr>
          <w:ilvl w:val="1"/>
          <w:numId w:val="1"/>
        </w:numPr>
        <w:spacing w:after="0" w:line="276" w:lineRule="auto"/>
        <w:jc w:val="both"/>
        <w:rPr>
          <w:rFonts w:cs="Times New Roman"/>
          <w:sz w:val="24"/>
          <w:szCs w:val="24"/>
          <w:lang w:val="ro-RO"/>
        </w:rPr>
      </w:pPr>
      <w:r>
        <w:rPr>
          <w:rFonts w:cs="Times New Roman"/>
          <w:sz w:val="24"/>
          <w:szCs w:val="24"/>
          <w:u w:val="single"/>
          <w:lang w:val="ro-RO"/>
        </w:rPr>
        <w:t>Equity Funding/Finanțare de Capital.</w:t>
      </w:r>
      <w:r>
        <w:rPr>
          <w:rFonts w:cs="Times New Roman"/>
          <w:sz w:val="24"/>
          <w:szCs w:val="24"/>
          <w:lang w:val="ro-RO"/>
        </w:rPr>
        <w:t xml:space="preserve"> Dacă are loc o Finanțare de Capital înainte de terminarea acestui SAFE la închiderea inițială a acestei Finanțări de Capital, acest SAFE se va converti automat în numărul de acțiuni de Acțiuni Preferențiale Standard egal cu Suma de Achiziție împărțită la cel mai mic preț pe acțiune al Acțiunilor Preferențiale Standard; sau (2) numărul de acțiuni de Acțiuni Preferențiale SAFE egal cu Suma de Achiziție împărțită la Prețul SAFE.</w:t>
      </w: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În legătură cu conversia automată a acestui SAFE în acțiuni de Acțiuni Preferențiale Standard sau Acțiuni Preferențiale SAFE, Investitorul va executa și livra Companiei toate documentele tranzacției legate de Finanțarea de Capital; cu condiția ca aceste documente (i) să fie aceleași documente încheiate cu cumpărătorii de Acțiuni Preferențiale Standard cu variații corespunzătoare pentru Acțiunile Preferențiale SAFE, dacă este aplicabil, și (ii) să aibă excepții obișnuite de la orice clauze de „drag-along” aplicabile Investitorului, inclusiv (dar fără a se limita la) declarații, garanții, răspunderi și obligații de despăgubire limitate pentru Investitor.</w:t>
      </w:r>
    </w:p>
    <w:p>
      <w:pPr>
        <w:pStyle w:val="6"/>
        <w:numPr>
          <w:ilvl w:val="1"/>
          <w:numId w:val="1"/>
        </w:numPr>
        <w:spacing w:after="0" w:line="276" w:lineRule="auto"/>
        <w:jc w:val="both"/>
        <w:rPr>
          <w:rFonts w:cs="Times New Roman"/>
          <w:sz w:val="24"/>
          <w:szCs w:val="24"/>
          <w:lang w:val="ro-RO"/>
        </w:rPr>
      </w:pPr>
      <w:r>
        <w:rPr>
          <w:rFonts w:cs="Times New Roman"/>
          <w:sz w:val="24"/>
          <w:szCs w:val="24"/>
          <w:u w:val="single"/>
          <w:lang w:val="ro-RO"/>
        </w:rPr>
        <w:t>Eveniment de Lichiditate.</w:t>
      </w:r>
      <w:r>
        <w:rPr>
          <w:rFonts w:cs="Times New Roman"/>
          <w:sz w:val="24"/>
          <w:szCs w:val="24"/>
          <w:lang w:val="ro-RO"/>
        </w:rPr>
        <w:t xml:space="preserve"> Dacă are loc un Eveniment de Lichiditate înainte de terminarea acestui SAFE, Investitorul va avea automat dreptul să primească o parte din Venituri datorată și plătibilă Investitorului imediat înainte de sau concomitent cu consumarea unui astfel de Eveniment de Lichiditate egal cu suma mai mare dintre (i) Suma de Achiziție (denumită „Suma de Răscumpărare”) sau (ii) suma plătibilă pentru numărul de acțiuni de Acțiuni Comune egal cu Suma de Achiziție împărțită la Prețul de Lichiditate (denumită „Suma de Conversie”). </w:t>
      </w: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Dacă oricăror deținători de valori mobiliare ale Companiei li se oferă o alegere în ceea ce privește forma și valoarea Veniturilor de primit într-un Eveniment de Lichiditate, Investitorul va primi aceeași alegere, cu condiția ca Investitorul să nu poată alege să primească o formă de considerare pentru care Investitorul nu ar fi eligibil ca urmare a neîndeplinirii de către Investitor a oricărei cerințe sau limitări aplicabile în general deținătorilor de valori mobiliare ale Companiei sau conform legilor aplicabile.</w:t>
      </w:r>
    </w:p>
    <w:p>
      <w:pPr>
        <w:pStyle w:val="6"/>
        <w:numPr>
          <w:ilvl w:val="1"/>
          <w:numId w:val="1"/>
        </w:numPr>
        <w:spacing w:after="0" w:line="276" w:lineRule="auto"/>
        <w:jc w:val="both"/>
        <w:rPr>
          <w:rFonts w:cs="Times New Roman"/>
          <w:sz w:val="24"/>
          <w:szCs w:val="24"/>
          <w:lang w:val="ro-RO"/>
        </w:rPr>
      </w:pPr>
      <w:r>
        <w:rPr>
          <w:rFonts w:cs="Times New Roman"/>
          <w:sz w:val="24"/>
          <w:szCs w:val="24"/>
          <w:u w:val="single"/>
          <w:lang w:val="ro-RO"/>
        </w:rPr>
        <w:t>Eveniment de Lichidare/Insolvabilitate</w:t>
      </w:r>
      <w:r>
        <w:rPr>
          <w:rFonts w:cs="Times New Roman"/>
          <w:sz w:val="24"/>
          <w:szCs w:val="24"/>
          <w:lang w:val="ro-RO"/>
        </w:rPr>
        <w:t>. Dacă are loc un Eveniment de Lichidare înainte de terminarea acestui SAFE, Investitorul va avea automat dreptul să primească o parte din Venituri egală cu Suma de Răscumpărare datorată și plătibilă Investitorului imediat înainte de consumarea Evenimentului de Lichidare.</w:t>
      </w:r>
    </w:p>
    <w:p>
      <w:pPr>
        <w:pStyle w:val="6"/>
        <w:numPr>
          <w:ilvl w:val="1"/>
          <w:numId w:val="1"/>
        </w:numPr>
        <w:spacing w:after="0" w:line="276" w:lineRule="auto"/>
        <w:jc w:val="both"/>
        <w:rPr>
          <w:rFonts w:cs="Times New Roman"/>
          <w:sz w:val="24"/>
          <w:szCs w:val="24"/>
          <w:lang w:val="ro-RO"/>
        </w:rPr>
      </w:pPr>
      <w:r>
        <w:rPr>
          <w:rFonts w:cs="Times New Roman"/>
          <w:sz w:val="24"/>
          <w:szCs w:val="24"/>
          <w:u w:val="single"/>
          <w:lang w:val="ro-RO"/>
        </w:rPr>
        <w:t>Prioritatea Lichidităților</w:t>
      </w:r>
      <w:r>
        <w:rPr>
          <w:rFonts w:cs="Times New Roman"/>
          <w:sz w:val="24"/>
          <w:szCs w:val="24"/>
          <w:lang w:val="ro-RO"/>
        </w:rPr>
        <w:t>. Într-un Eveniment de Lichiditate sau Eveniment de Lichidare, acest SAFE este destinat să funcționeze ca Acțiuni Preferențiale standard, neparticipante. Dreptul Investitorului de a primi Suma de Răscumpărare este:</w:t>
      </w:r>
    </w:p>
    <w:p>
      <w:pPr>
        <w:pStyle w:val="6"/>
        <w:numPr>
          <w:ilvl w:val="0"/>
          <w:numId w:val="2"/>
        </w:numPr>
        <w:spacing w:after="0" w:line="276" w:lineRule="auto"/>
        <w:ind w:left="1134" w:hanging="283"/>
        <w:jc w:val="both"/>
        <w:rPr>
          <w:rFonts w:cs="Times New Roman"/>
          <w:sz w:val="24"/>
          <w:szCs w:val="24"/>
          <w:lang w:val="ro-RO"/>
        </w:rPr>
      </w:pPr>
      <w:r>
        <w:rPr>
          <w:rFonts w:cs="Times New Roman"/>
          <w:sz w:val="24"/>
          <w:szCs w:val="24"/>
          <w:lang w:val="ro-RO"/>
        </w:rPr>
        <w:t>Subordonat plății datoriilor restante și revendicărilor creditorilor, inclusiv revendicări contractuale pentru plată și note convertibile de împrumut (în măsura în care aceste note convertibile de împrumut nu sunt efectiv sau ipotetic convertite în Capitalul Social);</w:t>
      </w:r>
    </w:p>
    <w:p>
      <w:pPr>
        <w:pStyle w:val="6"/>
        <w:numPr>
          <w:ilvl w:val="0"/>
          <w:numId w:val="2"/>
        </w:numPr>
        <w:spacing w:after="0" w:line="276" w:lineRule="auto"/>
        <w:ind w:left="1134" w:hanging="283"/>
        <w:jc w:val="both"/>
        <w:rPr>
          <w:rFonts w:cs="Times New Roman"/>
          <w:sz w:val="24"/>
          <w:szCs w:val="24"/>
          <w:lang w:val="ro-RO"/>
        </w:rPr>
      </w:pPr>
      <w:r>
        <w:rPr>
          <w:rFonts w:cs="Times New Roman"/>
          <w:sz w:val="24"/>
          <w:szCs w:val="24"/>
          <w:lang w:val="ro-RO"/>
        </w:rPr>
        <w:t>Pe aceeași treaptă cu plățile pentru alte SAFE-uri și/sau Acțiuni Preferențiale și, dacă Veniturile aplicabile sunt insuficiente pentru a permite plăți integrale Investitorului și acestor alte SAFE-uri și/sau Acțiuni Preferențiale, Veniturile aplicabile vor fi distribuite pro rata Investitorului și acestor alte SAFE-uri și/sau Acțiuni Preferențiale în proporție cu plățile integrale care ar fi altfel datorate; și</w:t>
      </w:r>
    </w:p>
    <w:p>
      <w:pPr>
        <w:pStyle w:val="6"/>
        <w:numPr>
          <w:ilvl w:val="0"/>
          <w:numId w:val="2"/>
        </w:numPr>
        <w:spacing w:after="0" w:line="276" w:lineRule="auto"/>
        <w:ind w:left="1134" w:hanging="283"/>
        <w:jc w:val="both"/>
        <w:rPr>
          <w:rFonts w:cs="Times New Roman"/>
          <w:sz w:val="24"/>
          <w:szCs w:val="24"/>
          <w:lang w:val="ro-RO"/>
        </w:rPr>
      </w:pPr>
      <w:r>
        <w:rPr>
          <w:rFonts w:cs="Times New Roman"/>
          <w:sz w:val="24"/>
          <w:szCs w:val="24"/>
          <w:lang w:val="ro-RO"/>
        </w:rPr>
        <w:t>Superior plăților pentru Acțiunile Comune.</w:t>
      </w: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Dreptul Investitorului de a primi Suma de Conversie este (A) pe aceeași treaptă cu plățile pentru Acțiuni Comune și alte SAFE-uri și/sau Acțiuni Preferențiale care primesc, de asemenea, Sume de Conversie sau Venituri pe o bază similară, convertită în Acțiuni Comune, și (B) subordonat plăților descrise în clauzele (i) și (ii) de mai sus (în ultimul caz, în măsura în care aceste plăți sunt Sume de Răscumpărare sau preferințe de lichidare similare).</w:t>
      </w:r>
    </w:p>
    <w:p>
      <w:pPr>
        <w:pStyle w:val="6"/>
        <w:numPr>
          <w:ilvl w:val="1"/>
          <w:numId w:val="1"/>
        </w:numPr>
        <w:spacing w:after="0" w:line="276" w:lineRule="auto"/>
        <w:jc w:val="both"/>
        <w:rPr>
          <w:rFonts w:cs="Times New Roman"/>
          <w:sz w:val="24"/>
          <w:szCs w:val="24"/>
          <w:lang w:val="ro-RO"/>
        </w:rPr>
      </w:pPr>
      <w:r>
        <w:rPr>
          <w:rFonts w:cs="Times New Roman"/>
          <w:sz w:val="24"/>
          <w:szCs w:val="24"/>
          <w:u w:val="single"/>
          <w:lang w:val="ro-RO"/>
        </w:rPr>
        <w:t>Terminare</w:t>
      </w:r>
      <w:r>
        <w:rPr>
          <w:rFonts w:cs="Times New Roman"/>
          <w:sz w:val="24"/>
          <w:szCs w:val="24"/>
          <w:lang w:val="ro-RO"/>
        </w:rPr>
        <w:t>. Acest SAFE se va termina automat (fără a scuti Compania de orice obligații rezultate dintr-o încălcare anterioară a acestui SAFE) imediat după ce va surveni primul dintre următoarele evenimente: (i) emiterea de Capital Social către Investitor conform conversiei automate a acestui SAFE conform Secțiunii 1(a); sau (ii) plata sau punerea deoparte pentru plata sumelor datorate Investitorului conform Secțiunii 1(b) sau Secțiunii 1(c).</w:t>
      </w:r>
    </w:p>
    <w:p>
      <w:pPr>
        <w:spacing w:after="0" w:line="276" w:lineRule="auto"/>
        <w:jc w:val="both"/>
        <w:rPr>
          <w:rFonts w:cs="Times New Roman"/>
          <w:sz w:val="24"/>
          <w:szCs w:val="24"/>
          <w:lang w:val="ro-RO"/>
        </w:rPr>
      </w:pPr>
    </w:p>
    <w:p>
      <w:pPr>
        <w:pStyle w:val="6"/>
        <w:numPr>
          <w:ilvl w:val="0"/>
          <w:numId w:val="1"/>
        </w:numPr>
        <w:spacing w:after="0" w:line="276" w:lineRule="auto"/>
        <w:jc w:val="both"/>
        <w:rPr>
          <w:rFonts w:cs="Times New Roman"/>
          <w:b/>
          <w:bCs/>
          <w:sz w:val="24"/>
          <w:szCs w:val="24"/>
          <w:lang w:val="ro-RO"/>
        </w:rPr>
      </w:pPr>
      <w:r>
        <w:rPr>
          <w:rFonts w:cs="Times New Roman"/>
          <w:b/>
          <w:bCs/>
          <w:sz w:val="24"/>
          <w:szCs w:val="24"/>
          <w:lang w:val="ro-RO"/>
        </w:rPr>
        <w:t>DEFINIȚII</w:t>
      </w:r>
    </w:p>
    <w:p>
      <w:pPr>
        <w:pStyle w:val="6"/>
        <w:spacing w:after="0" w:line="276" w:lineRule="auto"/>
        <w:jc w:val="both"/>
        <w:rPr>
          <w:rFonts w:cs="Times New Roman"/>
          <w:b/>
          <w:bCs/>
          <w:sz w:val="24"/>
          <w:szCs w:val="24"/>
          <w:lang w:val="ro-RO"/>
        </w:rPr>
      </w:pPr>
    </w:p>
    <w:p>
      <w:pPr>
        <w:pStyle w:val="6"/>
        <w:numPr>
          <w:ilvl w:val="1"/>
          <w:numId w:val="1"/>
        </w:numPr>
        <w:spacing w:after="0" w:line="276" w:lineRule="auto"/>
        <w:jc w:val="both"/>
        <w:rPr>
          <w:rFonts w:cs="Times New Roman"/>
          <w:sz w:val="24"/>
          <w:szCs w:val="24"/>
          <w:lang w:val="ro-RO"/>
        </w:rPr>
      </w:pPr>
      <w:r>
        <w:rPr>
          <w:rFonts w:cs="Times New Roman"/>
          <w:b/>
          <w:bCs/>
          <w:sz w:val="24"/>
          <w:szCs w:val="24"/>
          <w:lang w:val="ro-RO"/>
        </w:rPr>
        <w:t>Capital Social</w:t>
      </w:r>
      <w:r>
        <w:rPr>
          <w:rFonts w:cs="Times New Roman"/>
          <w:sz w:val="24"/>
          <w:szCs w:val="24"/>
          <w:lang w:val="ro-RO"/>
        </w:rPr>
        <w:t xml:space="preserve"> înseamnă capitalul social al Companiei, inclusiv, dar fără a se limita la, „Acțiuni Comune” și „Acțiuni Preferențiale.”</w:t>
      </w:r>
    </w:p>
    <w:p>
      <w:pPr>
        <w:pStyle w:val="6"/>
        <w:numPr>
          <w:ilvl w:val="1"/>
          <w:numId w:val="1"/>
        </w:numPr>
        <w:spacing w:after="0" w:line="276" w:lineRule="auto"/>
        <w:jc w:val="both"/>
        <w:rPr>
          <w:rFonts w:cs="Times New Roman"/>
          <w:sz w:val="24"/>
          <w:szCs w:val="24"/>
          <w:lang w:val="ro-RO"/>
        </w:rPr>
      </w:pPr>
      <w:r>
        <w:rPr>
          <w:rFonts w:cs="Times New Roman"/>
          <w:b/>
          <w:bCs/>
          <w:sz w:val="24"/>
          <w:szCs w:val="24"/>
          <w:lang w:val="ro-RO"/>
        </w:rPr>
        <w:t>Schimbare de Control</w:t>
      </w:r>
      <w:r>
        <w:rPr>
          <w:rFonts w:cs="Times New Roman"/>
          <w:sz w:val="24"/>
          <w:szCs w:val="24"/>
          <w:lang w:val="ro-RO"/>
        </w:rPr>
        <w:t xml:space="preserve"> înseamnă (i) ______________.</w:t>
      </w:r>
    </w:p>
    <w:p>
      <w:pPr>
        <w:pStyle w:val="6"/>
        <w:numPr>
          <w:ilvl w:val="1"/>
          <w:numId w:val="1"/>
        </w:numPr>
        <w:spacing w:after="0" w:line="276" w:lineRule="auto"/>
        <w:jc w:val="both"/>
        <w:rPr>
          <w:rFonts w:cs="Times New Roman"/>
          <w:sz w:val="24"/>
          <w:szCs w:val="24"/>
          <w:lang w:val="ro-RO"/>
        </w:rPr>
      </w:pPr>
      <w:r>
        <w:rPr>
          <w:rFonts w:cs="Times New Roman"/>
          <w:b/>
          <w:bCs/>
          <w:sz w:val="24"/>
          <w:szCs w:val="24"/>
          <w:lang w:val="ro-RO"/>
        </w:rPr>
        <w:t>Eveniment de Lichidare/Insolvabilitate</w:t>
      </w:r>
      <w:r>
        <w:rPr>
          <w:rFonts w:cs="Times New Roman"/>
          <w:sz w:val="24"/>
          <w:szCs w:val="24"/>
          <w:lang w:val="ro-RO"/>
        </w:rPr>
        <w:t xml:space="preserve"> înseamnă (i) o încetare voluntară a operațiunilor; (ii) o cesiune generală în beneficiul creditorilor Companiei; sau (iii) orice altă lichidare, dizolvare sau lichidare a Companiei (excluzând un Eveniment de Lichiditate), fie voluntară, fie involuntară.</w:t>
      </w:r>
    </w:p>
    <w:p>
      <w:pPr>
        <w:pStyle w:val="6"/>
        <w:numPr>
          <w:ilvl w:val="1"/>
          <w:numId w:val="1"/>
        </w:numPr>
        <w:spacing w:after="0" w:line="276" w:lineRule="auto"/>
        <w:jc w:val="both"/>
        <w:rPr>
          <w:rFonts w:cs="Times New Roman"/>
          <w:sz w:val="24"/>
          <w:szCs w:val="24"/>
          <w:lang w:val="ro-RO"/>
        </w:rPr>
      </w:pPr>
      <w:r>
        <w:rPr>
          <w:rFonts w:cs="Times New Roman"/>
          <w:b/>
          <w:bCs/>
          <w:sz w:val="24"/>
          <w:szCs w:val="24"/>
          <w:lang w:val="ro-RO"/>
        </w:rPr>
        <w:t>Finanțare de Capital</w:t>
      </w:r>
      <w:r>
        <w:rPr>
          <w:rFonts w:cs="Times New Roman"/>
          <w:sz w:val="24"/>
          <w:szCs w:val="24"/>
          <w:lang w:val="ro-RO"/>
        </w:rPr>
        <w:t xml:space="preserve"> înseamnă o tranzacție autentică sau o serie de tranzacții cu scopul principal de a strânge capital, prin care Compania emite și vinde Acțiuni Preferențiale la o valoare fixă, inclusiv, dar fără a se limita la, o valoare înainte de investiție sau o valoare post-investiție.</w:t>
      </w:r>
    </w:p>
    <w:p>
      <w:pPr>
        <w:pStyle w:val="6"/>
        <w:numPr>
          <w:ilvl w:val="1"/>
          <w:numId w:val="1"/>
        </w:numPr>
        <w:spacing w:after="0" w:line="276" w:lineRule="auto"/>
        <w:jc w:val="both"/>
        <w:rPr>
          <w:rFonts w:cs="Times New Roman"/>
          <w:sz w:val="24"/>
          <w:szCs w:val="24"/>
          <w:lang w:val="ro-RO"/>
        </w:rPr>
      </w:pPr>
      <w:r>
        <w:rPr>
          <w:rFonts w:cs="Times New Roman"/>
          <w:b/>
          <w:bCs/>
          <w:sz w:val="24"/>
          <w:szCs w:val="24"/>
          <w:lang w:val="ro-RO"/>
        </w:rPr>
        <w:t>SAFE</w:t>
      </w:r>
      <w:r>
        <w:rPr>
          <w:rFonts w:cs="Times New Roman"/>
          <w:sz w:val="24"/>
          <w:szCs w:val="24"/>
          <w:lang w:val="ro-RO"/>
        </w:rPr>
        <w:t xml:space="preserve"> înseamnă un instrument care conține un drept viitor la acțiuni de Capital Social similar ca formă și conținut cu acest instrument, achiziționat de investitori pentru finanțarea operațiunilor Companiei. Referințele la „acest SAFE” înseamnă acest instrument specific.</w:t>
      </w:r>
    </w:p>
    <w:p>
      <w:pPr>
        <w:pStyle w:val="6"/>
        <w:numPr>
          <w:ilvl w:val="1"/>
          <w:numId w:val="1"/>
        </w:numPr>
        <w:spacing w:after="0" w:line="276" w:lineRule="auto"/>
        <w:jc w:val="both"/>
        <w:rPr>
          <w:rFonts w:cs="Times New Roman"/>
          <w:sz w:val="24"/>
          <w:szCs w:val="24"/>
          <w:lang w:val="ro-RO"/>
        </w:rPr>
      </w:pPr>
      <w:r>
        <w:rPr>
          <w:rFonts w:cs="Times New Roman"/>
          <w:b/>
          <w:bCs/>
          <w:sz w:val="24"/>
          <w:szCs w:val="24"/>
          <w:lang w:val="ro-RO"/>
        </w:rPr>
        <w:t>Acțiuni Preferențiale SAFE</w:t>
      </w:r>
      <w:r>
        <w:rPr>
          <w:rFonts w:cs="Times New Roman"/>
          <w:sz w:val="24"/>
          <w:szCs w:val="24"/>
          <w:lang w:val="ro-RO"/>
        </w:rPr>
        <w:t xml:space="preserve"> înseamnă acțiunile din seria de Acțiuni Preferențiale emise Investitorului într-o Finanțare de Capital, având drepturi, privilegii, preferințe, senioritate, multipli de lichidare și restricții identice cu acțiunile de Acțiuni Preferențiale Standard, cu excepția faptului că orice preferințe bazate pe preț (cum ar fi suma de lichidare pe acțiune, prețul inițial de conversie și suma dividendului pe acțiune) vor fi bazate pe Prețul SAFE.</w:t>
      </w:r>
    </w:p>
    <w:p>
      <w:pPr>
        <w:pStyle w:val="6"/>
        <w:numPr>
          <w:ilvl w:val="1"/>
          <w:numId w:val="1"/>
        </w:numPr>
        <w:spacing w:after="0" w:line="276" w:lineRule="auto"/>
        <w:jc w:val="both"/>
        <w:rPr>
          <w:rFonts w:cs="Times New Roman"/>
          <w:sz w:val="24"/>
          <w:szCs w:val="24"/>
          <w:lang w:val="ro-RO"/>
        </w:rPr>
      </w:pPr>
      <w:r>
        <w:rPr>
          <w:rFonts w:cs="Times New Roman"/>
          <w:b/>
          <w:bCs/>
          <w:sz w:val="24"/>
          <w:szCs w:val="24"/>
          <w:lang w:val="ro-RO"/>
        </w:rPr>
        <w:t>Prețul SAFE</w:t>
      </w:r>
      <w:r>
        <w:rPr>
          <w:rFonts w:cs="Times New Roman"/>
          <w:sz w:val="24"/>
          <w:szCs w:val="24"/>
          <w:lang w:val="ro-RO"/>
        </w:rPr>
        <w:t xml:space="preserve"> înseamnă prețul pe acțiune egal cu Valoarea de Plafon Post-Investiție împărțită la Capitalizarea Companiei.</w:t>
      </w:r>
    </w:p>
    <w:p>
      <w:pPr>
        <w:pStyle w:val="6"/>
        <w:numPr>
          <w:ilvl w:val="1"/>
          <w:numId w:val="1"/>
        </w:numPr>
        <w:spacing w:after="0" w:line="276" w:lineRule="auto"/>
        <w:jc w:val="both"/>
        <w:rPr>
          <w:rFonts w:cs="Times New Roman"/>
          <w:sz w:val="24"/>
          <w:szCs w:val="24"/>
          <w:lang w:val="ro-RO"/>
        </w:rPr>
      </w:pPr>
      <w:r>
        <w:rPr>
          <w:rFonts w:cs="Times New Roman"/>
          <w:b/>
          <w:bCs/>
          <w:sz w:val="24"/>
          <w:szCs w:val="24"/>
          <w:lang w:val="ro-RO"/>
        </w:rPr>
        <w:t>Acțiuni Preferențiale Standard</w:t>
      </w:r>
      <w:r>
        <w:rPr>
          <w:rFonts w:cs="Times New Roman"/>
          <w:sz w:val="24"/>
          <w:szCs w:val="24"/>
          <w:lang w:val="ro-RO"/>
        </w:rPr>
        <w:t xml:space="preserve"> înseamnă acțiunile din seria de Acțiuni Preferențiale emise investitorilor care investesc bani noi în Companie în legătură cu închiderea inițială a Finanțării de Capital.</w:t>
      </w:r>
    </w:p>
    <w:p>
      <w:pPr>
        <w:pStyle w:val="6"/>
        <w:numPr>
          <w:ilvl w:val="1"/>
          <w:numId w:val="1"/>
        </w:numPr>
        <w:spacing w:after="0" w:line="276" w:lineRule="auto"/>
        <w:jc w:val="both"/>
        <w:rPr>
          <w:rFonts w:cs="Times New Roman"/>
          <w:sz w:val="24"/>
          <w:szCs w:val="24"/>
          <w:lang w:val="ro-RO"/>
        </w:rPr>
      </w:pPr>
      <w:r>
        <w:rPr>
          <w:rFonts w:cs="Times New Roman"/>
          <w:b/>
          <w:bCs/>
          <w:sz w:val="24"/>
          <w:szCs w:val="24"/>
          <w:lang w:val="ro-RO"/>
        </w:rPr>
        <w:t>Rezerva de Opțiuni Neacordată</w:t>
      </w:r>
      <w:r>
        <w:rPr>
          <w:rFonts w:cs="Times New Roman"/>
          <w:sz w:val="24"/>
          <w:szCs w:val="24"/>
          <w:lang w:val="ro-RO"/>
        </w:rPr>
        <w:t xml:space="preserve"> înseamnă toate acțiunile de Capital Social care sunt rezervate, disponibile pentru acordare viitoare și nu sunt subiectul unor Opțiuni Restante sau Opțiuni Promisă (dar în cazul unui Eveniment de Lichiditate, numai în măsura în care Veniturile sunt plătibile pe aceste Opțiuni Promisă) conform oricărui plan de stimulente de capital sau plan similar al Companiei.</w:t>
      </w:r>
    </w:p>
    <w:p>
      <w:pPr>
        <w:spacing w:after="0" w:line="276" w:lineRule="auto"/>
        <w:jc w:val="both"/>
        <w:rPr>
          <w:rFonts w:cs="Times New Roman"/>
          <w:sz w:val="24"/>
          <w:szCs w:val="24"/>
          <w:lang w:val="ro-RO"/>
        </w:rPr>
      </w:pPr>
    </w:p>
    <w:p>
      <w:pPr>
        <w:pStyle w:val="6"/>
        <w:numPr>
          <w:ilvl w:val="0"/>
          <w:numId w:val="1"/>
        </w:numPr>
        <w:spacing w:after="0" w:line="276" w:lineRule="auto"/>
        <w:jc w:val="both"/>
        <w:rPr>
          <w:rFonts w:cs="Times New Roman"/>
          <w:b/>
          <w:bCs/>
          <w:sz w:val="24"/>
          <w:szCs w:val="24"/>
          <w:lang w:val="ro-RO"/>
        </w:rPr>
      </w:pPr>
      <w:r>
        <w:rPr>
          <w:rFonts w:cs="Times New Roman"/>
          <w:b/>
          <w:bCs/>
          <w:sz w:val="24"/>
          <w:szCs w:val="24"/>
          <w:lang w:val="ro-RO"/>
        </w:rPr>
        <w:t>COMPANIA</w:t>
      </w:r>
    </w:p>
    <w:p>
      <w:pPr>
        <w:pStyle w:val="6"/>
        <w:spacing w:after="0" w:line="276" w:lineRule="auto"/>
        <w:jc w:val="both"/>
        <w:rPr>
          <w:rFonts w:cs="Times New Roman"/>
          <w:b/>
          <w:bCs/>
          <w:sz w:val="24"/>
          <w:szCs w:val="24"/>
          <w:lang w:val="ro-RO"/>
        </w:rPr>
      </w:pP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Compania este o corporație legal organizată, valid existentă și în stare bună conform legilor statului său de încorporare și are puterea și autoritatea de a deține, închiria și opera proprietățile sale și de a desfășura activitatea sa așa cum este acum desfășurată.</w:t>
      </w: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Executarea, livrarea și executarea de către Companie a acestui SAFE este în puterea Companiei și a fost autorizată prin toate acțiunile necesare din partea Companiei (sub rezerva secțiunii 3(d)). Acest SAFE constituie o obligație legală, valabilă și obligatorie a Companiei, aplicabilă împotriva Companiei în conformitate cu termenii săi, cu excepția limitărilor legate de faliment, insolvabilitate sau alte legi de aplicare generală referitoare la sau care afectează aplicarea drepturilor creditorilor în general și a principiilor generale de echitate. După cunoștințele sale, Compania nu încalcă (i) certificatul său de încorporare sau statutul său actual; (ii) orice statut, regulă sau reglementare materială aplicabilă Companiei; sau (iii) orice datorie materială sau contract de care Compania este parte sau de care este legată, unde, în fiecare caz, o astfel de încălcare sau neîndeplinire, individual sau împreună cu toate astfel de încălcări sau neîndepliniri, ar putea, în mod rezonabil, să aibă un efect advers material asupra Companiei.</w:t>
      </w: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Executarea și consumarea tranzacțiilor contemplate de acest SAFE nu încalcă și nu vor încălca: (i) orice hotărâre materială, statut, regulă sau reglementare aplicabilă Companiei; (ii) nu vor accelera nici o datorie materială sau contract de care Compania este parte sau de care este legată; sau (iii) nu vor rezulta în crearea sau impunerea unui privilegiu asupra oricărei proprietăți, active sau venituri ale Companiei sau în suspendarea, pierderea sau nereînnoirea oricărei licențe, permis sau autorizație materială aplicabilă Companiei, afacerii sale sau operațiunilor sale.</w:t>
      </w: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Nu este necesar consimțământul sau aprobarea în legătură cu executarea acestui SAFE, altele decât: (i) aprobările corporative ale Companiei; (ii) orice calificări sau depuneri conform legilor aplicabile de valori mobiliare; și (iii) aprobările corporative necesare pentru autorizarea acțiunilor de Capital Social emise conform Secțiunii 1.</w:t>
      </w: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După cunoștințele sale, Compania deține sau posedă (sau poate obține în termeni comerciali rezonabili) drepturi legale suficiente pentru toate brevetele, mărcile comerciale, mărcile de servicii, denumirile comerciale, drepturile de autor, secretele comerciale, licențele, informațiile, procesele și alte drepturi de proprietate intelectuală necesare pentru desfășurarea afacerii sale așa cum este acum desfășurată și cum este în prezent propusă a fi desfășurată, fără niciun conflict cu sau încălcare a drepturilor altora.</w:t>
      </w:r>
    </w:p>
    <w:p>
      <w:pPr>
        <w:spacing w:after="0" w:line="276" w:lineRule="auto"/>
        <w:jc w:val="both"/>
        <w:rPr>
          <w:rFonts w:cs="Times New Roman"/>
          <w:sz w:val="24"/>
          <w:szCs w:val="24"/>
          <w:lang w:val="ro-RO"/>
        </w:rPr>
      </w:pPr>
    </w:p>
    <w:p>
      <w:pPr>
        <w:pStyle w:val="6"/>
        <w:numPr>
          <w:ilvl w:val="0"/>
          <w:numId w:val="1"/>
        </w:numPr>
        <w:spacing w:after="0" w:line="276" w:lineRule="auto"/>
        <w:jc w:val="both"/>
        <w:rPr>
          <w:rFonts w:cs="Times New Roman"/>
          <w:b/>
          <w:bCs/>
          <w:sz w:val="24"/>
          <w:szCs w:val="24"/>
          <w:lang w:val="ro-RO"/>
        </w:rPr>
      </w:pPr>
      <w:r>
        <w:rPr>
          <w:rFonts w:cs="Times New Roman"/>
          <w:b/>
          <w:bCs/>
          <w:sz w:val="24"/>
          <w:szCs w:val="24"/>
          <w:lang w:val="ro-RO"/>
        </w:rPr>
        <w:t>INVESTITORUL</w:t>
      </w:r>
    </w:p>
    <w:p>
      <w:pPr>
        <w:pStyle w:val="6"/>
        <w:spacing w:after="0" w:line="276" w:lineRule="auto"/>
        <w:jc w:val="both"/>
        <w:rPr>
          <w:rFonts w:cs="Times New Roman"/>
          <w:b/>
          <w:bCs/>
          <w:sz w:val="24"/>
          <w:szCs w:val="24"/>
          <w:lang w:val="ro-RO"/>
        </w:rPr>
      </w:pP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Investitorul are capacitatea legală completă, puterea și autoritatea de a executa și livra acest SAFE și de a-și îndeplini obligațiile în temeiul acestuia. Acest SAFE constituie o obligație valabilă și obligatorie a Investitorului, aplicabilă în conformitate cu termenii săi, cu excepția limitărilor legate de faliment, insolvabilitate sau alte legi de aplicare generală referitoare la sau care afectează aplicarea drepturilor creditorilor în general și a principiilor generale de echitate.</w:t>
      </w: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 xml:space="preserve">Investitorul este un investitor acreditat așa cum este definit acest termen în Regulamentul 501 din Regulamentul D conform Securities Act și recunoaște și este de acord că, dacă nu este un investitor acreditat la momentul unei Finanțări de Capital, Compania poate anula acest SAFE și returna Suma de Achiziție. Investitorul a fost informat că acest SAFE și valorile mobiliare subiacente nu au fost înregistrate conform Securities Act sau conform oricărei legi de valori mobiliare de stat și, prin urmare, nu pot fi revândute decât dacă sunt înregistrate conform Securities Act și legilor de valori mobiliare de stat aplicabile sau dacă este disponibilă o excepție de la aceste cerințe de înregistrare. Investitorul achiziționează acest SAFE și valorile mobiliare ce vor fi achiziționate de Investitor conform acestuia pentru contul său propriu, pentru investiție, nu ca mandatar sau agent și nu cu scopul de a le revinde în legătură cu distribuirea acestora, iar Investitorul nu intenționează în prezent să vândă, să acorde vreo participare sau să distribuie altfel aceleași. </w:t>
      </w: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Investitorul are cunoștințe și experiență în chestiuni financiare și de afaceri care îl fac capabil să evalueze meritele și riscurile unei astfel de investiții, este capabil să suporte o pierdere completă a unei astfel de investiții fără a-i afecta condiția financiară și este capabil să suporte riscul economic al unei astfel de investiții pe o perioadă nedeterminată.</w:t>
      </w:r>
    </w:p>
    <w:p>
      <w:pPr>
        <w:spacing w:after="0" w:line="276" w:lineRule="auto"/>
        <w:jc w:val="both"/>
        <w:rPr>
          <w:rFonts w:cs="Times New Roman"/>
          <w:sz w:val="24"/>
          <w:szCs w:val="24"/>
          <w:lang w:val="ro-RO"/>
        </w:rPr>
      </w:pPr>
    </w:p>
    <w:p>
      <w:pPr>
        <w:pStyle w:val="6"/>
        <w:numPr>
          <w:ilvl w:val="0"/>
          <w:numId w:val="1"/>
        </w:numPr>
        <w:spacing w:after="0" w:line="276" w:lineRule="auto"/>
        <w:rPr>
          <w:rFonts w:cs="Times New Roman"/>
          <w:b/>
          <w:bCs/>
          <w:sz w:val="24"/>
          <w:szCs w:val="24"/>
          <w:lang w:val="ro-RO"/>
        </w:rPr>
      </w:pPr>
      <w:r>
        <w:rPr>
          <w:rFonts w:cs="Times New Roman"/>
          <w:b/>
          <w:bCs/>
          <w:sz w:val="24"/>
          <w:szCs w:val="24"/>
          <w:lang w:val="ro-RO"/>
        </w:rPr>
        <w:t>CLAUZA DE CONFIDENȚIALITATE</w:t>
      </w:r>
    </w:p>
    <w:p>
      <w:pPr>
        <w:pStyle w:val="6"/>
        <w:spacing w:after="0" w:line="276" w:lineRule="auto"/>
        <w:rPr>
          <w:rFonts w:cs="Times New Roman"/>
          <w:b/>
          <w:bCs/>
          <w:sz w:val="24"/>
          <w:szCs w:val="24"/>
          <w:lang w:val="ro-RO"/>
        </w:rPr>
      </w:pP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În scopurile prezentului Contract, Informația confidențială include, dar nu se limitează la orice informaţii aparţinând Părților sau persoanelor afiliate ale acestora cum ar fi: contracte scrise sau orale, secrete comerciale, know-how, metode de afaceri, politici de afaceri, memoranda, rapoarte, înregistrări, informații păstrate de computer, note sau informații financiare. </w:t>
      </w: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Părțile se obligă reciproc să păstreze în deplină confidenţialitate Informaţia Confidenţială, indiferent de forma sau suportul acesteia, care i-au devenit cunoscute în legătură cu executarea prezentului contract.  Părțile se obligă reciproc să nu folosească Informaţia Confidenţială pentru implicarea sa într-o activitate care ar putea fi interpretată ca act de concurenţă neloială. </w:t>
      </w: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Părțile sunt de acord să nu pună la dispoziția oricărei terțe părți informațiile proprietate sau confidențiale ale celuilalt sau să utilizeze informațiile proprietate sau confidențiale ale celuilalt în alt scop decât cel specificat în prezentul Contract, decât doar în cazurile de excepție prevăzute de lege. </w:t>
      </w: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Nu va constitui încălcare a obligaţiei de confidențialitate, dacă dezvăluirea a avut loc: (i) cu acordul expres și scris al părții, (ii) către alte persoane care au acces autorizat de parte la Informaţia Confidenţială; sau (iii) către un terţ, în baza unei hotărâri sau încheieri judecătorești definitive şi irevocabile, sau (iv) către o autoritate publică, la solicitarea scrisă a acesteia, în limitele competenţei prevăzute de lege a acestei autorităţi de a solicita şi a avea acces la Informaţia Confidenţială.  părțile sunt obligate să se informeze reciproc despre orice solicitare de divulgare sau divulgare a Informaţiei Confidenţiale.</w:t>
      </w: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Informațiile proprietate sau confidențiale ale fiecărei Părți vor rămâne proprietatea exclusivă a acelei părți. </w:t>
      </w: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Pentru încălcarea obligaţiei de păstrare a confidenţialităţii conform prezentului Contract, Partea care a comis o asemenea încălcare, poate fi trasă la răspundere în sensul obligării reparării prejudiciului cauzat în conformitate cu prevederile legislației în vigoare.</w:t>
      </w: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Obligaţia de confidenţialitate instituită prin acest contract este valabilă pe toată durata prezentului Contract și timp de 36 luni după încetarea acestuia.</w:t>
      </w:r>
    </w:p>
    <w:p>
      <w:pPr>
        <w:spacing w:after="0" w:line="276" w:lineRule="auto"/>
        <w:jc w:val="both"/>
        <w:rPr>
          <w:rFonts w:cs="Times New Roman"/>
          <w:sz w:val="24"/>
          <w:szCs w:val="24"/>
          <w:lang w:val="ro-RO"/>
        </w:rPr>
      </w:pPr>
    </w:p>
    <w:p>
      <w:pPr>
        <w:pStyle w:val="6"/>
        <w:numPr>
          <w:ilvl w:val="0"/>
          <w:numId w:val="1"/>
        </w:numPr>
        <w:spacing w:after="0" w:line="276" w:lineRule="auto"/>
        <w:jc w:val="both"/>
        <w:rPr>
          <w:rFonts w:cs="Times New Roman"/>
          <w:b/>
          <w:bCs/>
          <w:sz w:val="24"/>
          <w:szCs w:val="24"/>
          <w:lang w:val="ro-RO"/>
        </w:rPr>
      </w:pPr>
      <w:r>
        <w:rPr>
          <w:rFonts w:cs="Times New Roman"/>
          <w:b/>
          <w:bCs/>
          <w:sz w:val="24"/>
          <w:szCs w:val="24"/>
          <w:lang w:val="ro-RO"/>
        </w:rPr>
        <w:t>RĂSPUNDEREA PĂRȚILOR</w:t>
      </w:r>
    </w:p>
    <w:p>
      <w:pPr>
        <w:pStyle w:val="6"/>
        <w:spacing w:after="0" w:line="276" w:lineRule="auto"/>
        <w:jc w:val="both"/>
        <w:rPr>
          <w:rFonts w:cs="Times New Roman"/>
          <w:b/>
          <w:bCs/>
          <w:sz w:val="24"/>
          <w:szCs w:val="24"/>
          <w:lang w:val="ro-RO"/>
        </w:rPr>
      </w:pPr>
    </w:p>
    <w:p>
      <w:pPr>
        <w:pStyle w:val="6"/>
        <w:numPr>
          <w:ilvl w:val="1"/>
          <w:numId w:val="1"/>
        </w:numPr>
        <w:spacing w:after="0" w:line="276" w:lineRule="auto"/>
        <w:jc w:val="both"/>
        <w:textAlignment w:val="baseline"/>
        <w:rPr>
          <w:rFonts w:eastAsia="Times New Roman" w:cs="Times New Roman"/>
          <w:sz w:val="24"/>
          <w:szCs w:val="24"/>
          <w:lang w:val="ro-RO"/>
          <w14:ligatures w14:val="none"/>
        </w:rPr>
      </w:pPr>
      <w:r>
        <w:rPr>
          <w:rFonts w:eastAsia="Times New Roman" w:cs="Times New Roman"/>
          <w:sz w:val="24"/>
          <w:szCs w:val="24"/>
          <w:lang w:val="ro-RO"/>
          <w14:ligatures w14:val="none"/>
        </w:rPr>
        <w:t>În cazul de neexecutare sau executare necorespunzătoare a obligațiilor indicate în, conform prezentului Contract, Părțile poartă răspundere conform legislației în vigoare.</w:t>
      </w:r>
    </w:p>
    <w:p>
      <w:pPr>
        <w:pStyle w:val="6"/>
        <w:numPr>
          <w:ilvl w:val="1"/>
          <w:numId w:val="1"/>
        </w:numPr>
        <w:spacing w:after="0" w:line="276" w:lineRule="auto"/>
        <w:jc w:val="both"/>
        <w:textAlignment w:val="baseline"/>
        <w:rPr>
          <w:rFonts w:eastAsia="Times New Roman" w:cs="Times New Roman"/>
          <w:sz w:val="24"/>
          <w:szCs w:val="24"/>
          <w:lang w:val="ro-RO"/>
          <w14:ligatures w14:val="none"/>
        </w:rPr>
      </w:pPr>
      <w:r>
        <w:rPr>
          <w:rFonts w:eastAsia="Times New Roman" w:cs="Times New Roman"/>
          <w:sz w:val="24"/>
          <w:szCs w:val="24"/>
          <w:lang w:val="ro-RO"/>
          <w14:ligatures w14:val="none"/>
        </w:rPr>
        <w:t>Neexecutarea obligaţiei este justificată dacă ea se datorează unui impediment în afara controlului Părții respective şi dacă acesteia nu i se putea cere în mod rezonabil să evite sau să depăşească impedimentul ori consecinţele acestuia.</w:t>
      </w:r>
    </w:p>
    <w:p>
      <w:pPr>
        <w:pStyle w:val="6"/>
        <w:numPr>
          <w:ilvl w:val="1"/>
          <w:numId w:val="1"/>
        </w:numPr>
        <w:spacing w:after="0" w:line="276" w:lineRule="auto"/>
        <w:jc w:val="both"/>
        <w:textAlignment w:val="baseline"/>
        <w:rPr>
          <w:rFonts w:eastAsia="Times New Roman" w:cs="Times New Roman"/>
          <w:sz w:val="24"/>
          <w:szCs w:val="24"/>
          <w:lang w:val="ro-RO"/>
          <w14:ligatures w14:val="none"/>
        </w:rPr>
      </w:pPr>
      <w:r>
        <w:rPr>
          <w:rFonts w:eastAsia="Times New Roman" w:cs="Times New Roman"/>
          <w:sz w:val="24"/>
          <w:szCs w:val="24"/>
          <w:lang w:val="ro-RO"/>
          <w14:ligatures w14:val="none"/>
        </w:rPr>
        <w:t>În cazul în care impedimentul justificator este doar temporar, justificarea produce efecte pe durata existenţei impedimentului. În cazul în care impedimentul justificator este permanent, obligaţia se stinge. Obligaţia corelativă de asemenea se stinge. </w:t>
      </w:r>
    </w:p>
    <w:p>
      <w:pPr>
        <w:pStyle w:val="6"/>
        <w:numPr>
          <w:ilvl w:val="1"/>
          <w:numId w:val="1"/>
        </w:numPr>
        <w:spacing w:after="0" w:line="276" w:lineRule="auto"/>
        <w:jc w:val="both"/>
        <w:textAlignment w:val="baseline"/>
        <w:rPr>
          <w:rFonts w:eastAsia="Times New Roman" w:cs="Times New Roman"/>
          <w:sz w:val="24"/>
          <w:szCs w:val="24"/>
          <w:lang w:val="ro-RO"/>
          <w14:ligatures w14:val="none"/>
        </w:rPr>
      </w:pPr>
      <w:r>
        <w:rPr>
          <w:rFonts w:eastAsia="Times New Roman" w:cs="Times New Roman"/>
          <w:sz w:val="24"/>
          <w:szCs w:val="24"/>
          <w:lang w:val="ro-RO"/>
          <w14:ligatures w14:val="none"/>
        </w:rPr>
        <w:t>Parte care invocă impedimentul justificativ are obligaţia de a asigura ca cealaltă parte să primească o notificare despre impediment şi efectele lui asupra capacităţii de a executa, într-un termen de 10 (zece) zile, rezonabil după ce a cunoscut aceste circumstanţe. </w:t>
      </w:r>
    </w:p>
    <w:p>
      <w:pPr>
        <w:pStyle w:val="6"/>
        <w:numPr>
          <w:ilvl w:val="1"/>
          <w:numId w:val="1"/>
        </w:numPr>
        <w:spacing w:after="0" w:line="276" w:lineRule="auto"/>
        <w:jc w:val="both"/>
        <w:textAlignment w:val="baseline"/>
        <w:rPr>
          <w:rFonts w:eastAsia="Times New Roman" w:cs="Times New Roman"/>
          <w:sz w:val="24"/>
          <w:szCs w:val="24"/>
          <w:lang w:val="ro-RO"/>
          <w14:ligatures w14:val="none"/>
        </w:rPr>
      </w:pPr>
      <w:r>
        <w:rPr>
          <w:rFonts w:eastAsia="Times New Roman" w:cs="Times New Roman"/>
          <w:sz w:val="24"/>
          <w:szCs w:val="24"/>
          <w:lang w:val="ro-RO"/>
          <w14:ligatures w14:val="none"/>
        </w:rPr>
        <w:t>Niciuna din Părțile prezentului Contract nu va cesiona drepturile și obligațiile sale rezultate din acest Contract unei terțe persoane fără consimțământul expres al părților contractante.</w:t>
      </w:r>
    </w:p>
    <w:p>
      <w:pPr>
        <w:spacing w:after="0" w:line="276" w:lineRule="auto"/>
        <w:jc w:val="both"/>
        <w:rPr>
          <w:rFonts w:cs="Times New Roman"/>
          <w:b/>
          <w:bCs/>
          <w:sz w:val="24"/>
          <w:szCs w:val="24"/>
          <w:lang w:val="ro-RO"/>
        </w:rPr>
      </w:pPr>
    </w:p>
    <w:p>
      <w:pPr>
        <w:pStyle w:val="6"/>
        <w:numPr>
          <w:ilvl w:val="0"/>
          <w:numId w:val="1"/>
        </w:numPr>
        <w:spacing w:after="0" w:line="276" w:lineRule="auto"/>
        <w:jc w:val="both"/>
        <w:textAlignment w:val="baseline"/>
        <w:rPr>
          <w:rFonts w:eastAsia="Times New Roman" w:cs="Times New Roman"/>
          <w:b/>
          <w:bCs/>
          <w:sz w:val="24"/>
          <w:szCs w:val="24"/>
          <w:lang w:val="ro-RO"/>
          <w14:ligatures w14:val="none"/>
        </w:rPr>
      </w:pPr>
      <w:r>
        <w:rPr>
          <w:rFonts w:eastAsia="Times New Roman" w:cs="Times New Roman"/>
          <w:b/>
          <w:bCs/>
          <w:sz w:val="24"/>
          <w:szCs w:val="24"/>
          <w:lang w:val="ro-RO"/>
          <w14:ligatures w14:val="none"/>
        </w:rPr>
        <w:t>MODIFICAREA ȘI ÎNCETAREA CONTRACTULUI</w:t>
      </w:r>
    </w:p>
    <w:p>
      <w:pPr>
        <w:pStyle w:val="6"/>
        <w:spacing w:after="0" w:line="276" w:lineRule="auto"/>
        <w:jc w:val="both"/>
        <w:textAlignment w:val="baseline"/>
        <w:rPr>
          <w:rFonts w:eastAsia="Times New Roman" w:cs="Times New Roman"/>
          <w:b/>
          <w:bCs/>
          <w:sz w:val="24"/>
          <w:szCs w:val="24"/>
          <w:lang w:val="ro-RO"/>
          <w14:ligatures w14:val="none"/>
        </w:rPr>
      </w:pP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Prezentul Contract poate fi modificat doar în scris, prin acordul comun al Părților.</w:t>
      </w: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Orice prevedere a acestui SAFE poate fi modificată, renunțată sau schimbată prin consimțământ scris al Companiei și fie (i) Investitorului sau (ii) majorității în interes a tuturor SAFE-urilor atunci existente cu același „Plafon Post-Investiție” și „Rată de Discount” ca acest SAFE (și SAFE-urile care nu au unul sau ambele astfel de termeni vor fi considerate la fel în ceea ce privește acest(e) termen(e)), cu condiția ca, în cazul clauzei (ii): (A) Suma de Achiziție să nu poată fi modificată, renunțată sau schimbată în acest mod (B) consimțământul Investitorului și al fiecărui deținător de astfel de SAFE-uri să fie solicitat (chiar dacă nu obținut) și (C) o astfel de modificare, renunțare sau schimbare să trateze toți astfel de deținători în același mod. „Majoritatea în interes” se referă la deținătorii grupului aplicabil de SAFE-uri ale căror SAFE-uri au o Sumă de Achiziție totală mai mare de 50% din Suma de Achiziție totală a tuturor astfel de grupuri aplicabile de SAFE-uri.</w:t>
      </w:r>
    </w:p>
    <w:p>
      <w:pPr>
        <w:numPr>
          <w:ilvl w:val="1"/>
          <w:numId w:val="1"/>
        </w:numPr>
        <w:spacing w:after="0" w:line="276" w:lineRule="auto"/>
        <w:jc w:val="both"/>
        <w:rPr>
          <w:rFonts w:cs="Times New Roman"/>
          <w:sz w:val="24"/>
          <w:szCs w:val="24"/>
          <w:lang w:val="ro-RO"/>
        </w:rPr>
      </w:pPr>
      <w:r>
        <w:rPr>
          <w:rFonts w:cs="Times New Roman"/>
          <w:sz w:val="24"/>
          <w:szCs w:val="24"/>
          <w:lang w:val="ro-RO"/>
        </w:rPr>
        <w:t>Orice notificare necesară sau permisă de acest SAFE va fi considerată suficientă atunci când este livrată personal sau prin curier rapid sau trimisă prin e-mail la adresa relevantă listată pe pagina de semnături sau la 48 de ore după ce a fost depusă în poșta SUA ca scrisoare certificată sau recomandată cu taxa de poștă plătită, adresată părții care urmează a fi notificată la adresa acesteia listată pe pagina de semnături, modificată ulterior prin notificare scrisă.</w:t>
      </w:r>
    </w:p>
    <w:p>
      <w:pPr>
        <w:numPr>
          <w:ilvl w:val="1"/>
          <w:numId w:val="1"/>
        </w:numPr>
        <w:spacing w:after="0" w:line="276" w:lineRule="auto"/>
        <w:jc w:val="both"/>
        <w:rPr>
          <w:rFonts w:cs="Times New Roman"/>
          <w:sz w:val="24"/>
          <w:szCs w:val="24"/>
          <w:lang w:val="ro-RO"/>
        </w:rPr>
      </w:pPr>
      <w:r>
        <w:rPr>
          <w:rFonts w:cs="Times New Roman"/>
          <w:sz w:val="24"/>
          <w:szCs w:val="24"/>
          <w:lang w:val="ro-RO"/>
        </w:rPr>
        <w:t>Prezentul Contract încetează în conformitate cu legislația în vigoare.</w:t>
      </w:r>
    </w:p>
    <w:p>
      <w:pPr>
        <w:numPr>
          <w:ilvl w:val="1"/>
          <w:numId w:val="1"/>
        </w:numPr>
        <w:spacing w:after="0" w:line="276" w:lineRule="auto"/>
        <w:jc w:val="both"/>
        <w:rPr>
          <w:rFonts w:cs="Times New Roman"/>
          <w:sz w:val="24"/>
          <w:szCs w:val="24"/>
          <w:lang w:val="ro-RO"/>
        </w:rPr>
      </w:pPr>
      <w:r>
        <w:rPr>
          <w:rFonts w:cs="Times New Roman"/>
          <w:sz w:val="24"/>
          <w:szCs w:val="24"/>
          <w:lang w:val="ro-RO"/>
        </w:rPr>
        <w:t>Prezentul Contract poate fi rezolvit de către Părți, unilateral, prin declarațiea scrisă, depusă cu cel puțin 14 zile înainte de data rezoluțiunii, dacă Partea nu-și execută în mod corespunzător obligațiile;</w:t>
      </w:r>
    </w:p>
    <w:p>
      <w:pPr>
        <w:numPr>
          <w:ilvl w:val="1"/>
          <w:numId w:val="1"/>
        </w:numPr>
        <w:spacing w:after="0" w:line="276" w:lineRule="auto"/>
        <w:jc w:val="both"/>
        <w:rPr>
          <w:rFonts w:cs="Times New Roman"/>
          <w:sz w:val="24"/>
          <w:szCs w:val="24"/>
          <w:lang w:val="ro-RO"/>
        </w:rPr>
      </w:pPr>
      <w:r>
        <w:rPr>
          <w:rFonts w:cs="Times New Roman"/>
          <w:sz w:val="24"/>
          <w:szCs w:val="24"/>
          <w:lang w:val="ro-RO"/>
        </w:rPr>
        <w:t>Prezentul Contract poate fi rezolvit de către Părți, în temeiul unui Contract de rezoluțiune, fără invocarea unui motiv.</w:t>
      </w:r>
    </w:p>
    <w:p>
      <w:pPr>
        <w:spacing w:after="0" w:line="276" w:lineRule="auto"/>
        <w:jc w:val="both"/>
        <w:rPr>
          <w:rFonts w:cs="Times New Roman"/>
          <w:sz w:val="24"/>
          <w:szCs w:val="24"/>
          <w:lang w:val="ro-RO"/>
        </w:rPr>
      </w:pPr>
    </w:p>
    <w:p>
      <w:pPr>
        <w:pStyle w:val="6"/>
        <w:numPr>
          <w:ilvl w:val="0"/>
          <w:numId w:val="1"/>
        </w:numPr>
        <w:tabs>
          <w:tab w:val="left" w:pos="1202"/>
        </w:tabs>
        <w:spacing w:line="276" w:lineRule="auto"/>
        <w:rPr>
          <w:rFonts w:eastAsia="Times New Roman" w:cs="Times New Roman"/>
          <w:b/>
          <w:sz w:val="24"/>
          <w:szCs w:val="24"/>
          <w:lang w:val="ro-RO"/>
        </w:rPr>
      </w:pPr>
      <w:r>
        <w:rPr>
          <w:rFonts w:eastAsia="Times New Roman" w:cs="Times New Roman"/>
          <w:b/>
          <w:sz w:val="24"/>
          <w:szCs w:val="24"/>
          <w:lang w:val="ro-RO"/>
        </w:rPr>
        <w:t>SOLUȚIONAREA LITIGIILOR</w:t>
      </w:r>
    </w:p>
    <w:p>
      <w:pPr>
        <w:pStyle w:val="6"/>
        <w:tabs>
          <w:tab w:val="left" w:pos="1202"/>
        </w:tabs>
        <w:spacing w:line="276" w:lineRule="auto"/>
        <w:rPr>
          <w:rFonts w:eastAsia="Times New Roman" w:cs="Times New Roman"/>
          <w:b/>
          <w:sz w:val="24"/>
          <w:szCs w:val="24"/>
          <w:lang w:val="ro-RO"/>
        </w:rPr>
      </w:pPr>
    </w:p>
    <w:p>
      <w:pPr>
        <w:pStyle w:val="6"/>
        <w:numPr>
          <w:ilvl w:val="1"/>
          <w:numId w:val="1"/>
        </w:numPr>
        <w:tabs>
          <w:tab w:val="left" w:pos="1202"/>
        </w:tabs>
        <w:spacing w:line="276" w:lineRule="auto"/>
        <w:jc w:val="both"/>
        <w:rPr>
          <w:rFonts w:eastAsia="Times New Roman" w:cs="Times New Roman"/>
          <w:sz w:val="24"/>
          <w:szCs w:val="24"/>
          <w:lang w:val="ro-RO"/>
        </w:rPr>
      </w:pPr>
      <w:r>
        <w:rPr>
          <w:rFonts w:eastAsia="Times New Roman" w:cs="Times New Roman"/>
          <w:sz w:val="24"/>
          <w:szCs w:val="24"/>
          <w:lang w:val="ro-RO"/>
        </w:rPr>
        <w:t>Orice dispută apărută în legătură cu prezentul Contract va fi soluționată pe cale amiabilă. În cazul în care nu se ajunge la un acord, disputa va fi soluționată de instanțele judecătorești competente din Republica Moldova.</w:t>
      </w:r>
    </w:p>
    <w:p>
      <w:pPr>
        <w:pStyle w:val="6"/>
        <w:numPr>
          <w:ilvl w:val="1"/>
          <w:numId w:val="1"/>
        </w:numPr>
        <w:tabs>
          <w:tab w:val="left" w:pos="1202"/>
        </w:tabs>
        <w:spacing w:line="276" w:lineRule="auto"/>
        <w:jc w:val="both"/>
        <w:rPr>
          <w:rFonts w:eastAsia="Times New Roman" w:cs="Times New Roman"/>
          <w:sz w:val="24"/>
          <w:szCs w:val="24"/>
          <w:lang w:val="ro-RO"/>
        </w:rPr>
      </w:pPr>
      <w:r>
        <w:rPr>
          <w:rFonts w:eastAsia="Times New Roman" w:cs="Times New Roman"/>
          <w:sz w:val="24"/>
          <w:szCs w:val="24"/>
          <w:lang w:val="ro-RO"/>
        </w:rPr>
        <w:t>Prezentul Contract este guvernat de legislația Republicii Moldova.</w:t>
      </w:r>
    </w:p>
    <w:p>
      <w:pPr>
        <w:pStyle w:val="6"/>
        <w:tabs>
          <w:tab w:val="left" w:pos="1202"/>
        </w:tabs>
        <w:spacing w:line="276" w:lineRule="auto"/>
        <w:ind w:left="850"/>
        <w:jc w:val="both"/>
        <w:rPr>
          <w:rFonts w:eastAsia="Times New Roman" w:cs="Times New Roman"/>
          <w:sz w:val="24"/>
          <w:szCs w:val="24"/>
          <w:lang w:val="ro-RO"/>
        </w:rPr>
      </w:pPr>
    </w:p>
    <w:p>
      <w:pPr>
        <w:pStyle w:val="6"/>
        <w:numPr>
          <w:ilvl w:val="0"/>
          <w:numId w:val="1"/>
        </w:numPr>
        <w:tabs>
          <w:tab w:val="left" w:pos="1202"/>
        </w:tabs>
        <w:spacing w:line="276" w:lineRule="auto"/>
        <w:rPr>
          <w:rFonts w:eastAsia="Times New Roman" w:cs="Times New Roman"/>
          <w:sz w:val="24"/>
          <w:szCs w:val="24"/>
          <w:lang w:val="ro-RO"/>
        </w:rPr>
      </w:pPr>
      <w:r>
        <w:rPr>
          <w:rFonts w:eastAsia="Times New Roman" w:cs="Times New Roman"/>
          <w:b/>
          <w:sz w:val="24"/>
          <w:szCs w:val="24"/>
          <w:lang w:val="ro-RO"/>
        </w:rPr>
        <w:t>DISPOZIȚII FINALE</w:t>
      </w:r>
    </w:p>
    <w:p>
      <w:pPr>
        <w:pStyle w:val="6"/>
        <w:tabs>
          <w:tab w:val="left" w:pos="1202"/>
        </w:tabs>
        <w:spacing w:line="276" w:lineRule="auto"/>
        <w:rPr>
          <w:rFonts w:eastAsia="Times New Roman" w:cs="Times New Roman"/>
          <w:sz w:val="24"/>
          <w:szCs w:val="24"/>
          <w:lang w:val="ro-RO"/>
        </w:rPr>
      </w:pPr>
    </w:p>
    <w:p>
      <w:pPr>
        <w:pStyle w:val="6"/>
        <w:numPr>
          <w:ilvl w:val="1"/>
          <w:numId w:val="1"/>
        </w:numPr>
        <w:tabs>
          <w:tab w:val="left" w:pos="1202"/>
        </w:tabs>
        <w:spacing w:line="276" w:lineRule="auto"/>
        <w:jc w:val="both"/>
        <w:rPr>
          <w:rFonts w:eastAsia="Times New Roman" w:cs="Times New Roman"/>
          <w:sz w:val="24"/>
          <w:szCs w:val="24"/>
          <w:lang w:val="ro-RO"/>
        </w:rPr>
      </w:pPr>
      <w:r>
        <w:rPr>
          <w:rFonts w:eastAsia="Times New Roman" w:cs="Times New Roman"/>
          <w:sz w:val="24"/>
          <w:szCs w:val="24"/>
          <w:lang w:val="ro-RO"/>
        </w:rPr>
        <w:t>Prezentul Contract intră în vigoare la data semnării de către toate părțile și rămâne valabil până la îndeplinirea tuturor obligațiilor de către părți sau până la o eventuală reziliere convenită de comun acord.</w:t>
      </w:r>
    </w:p>
    <w:p>
      <w:pPr>
        <w:pStyle w:val="6"/>
        <w:numPr>
          <w:ilvl w:val="1"/>
          <w:numId w:val="1"/>
        </w:numPr>
        <w:tabs>
          <w:tab w:val="left" w:pos="1202"/>
        </w:tabs>
        <w:spacing w:line="276" w:lineRule="auto"/>
        <w:jc w:val="both"/>
        <w:rPr>
          <w:rFonts w:eastAsia="Times New Roman" w:cs="Times New Roman"/>
          <w:sz w:val="24"/>
          <w:szCs w:val="24"/>
          <w:lang w:val="ro-RO"/>
        </w:rPr>
      </w:pPr>
      <w:r>
        <w:rPr>
          <w:rFonts w:eastAsia="Times New Roman" w:cs="Times New Roman"/>
          <w:sz w:val="24"/>
          <w:szCs w:val="24"/>
          <w:lang w:val="ro-RO"/>
        </w:rPr>
        <w:t>Orice modificare a prezentului Contract se va face în scris și va fi semnată de toate Părțile implicate.</w:t>
      </w:r>
    </w:p>
    <w:p>
      <w:pPr>
        <w:pStyle w:val="6"/>
        <w:numPr>
          <w:ilvl w:val="1"/>
          <w:numId w:val="1"/>
        </w:numPr>
        <w:tabs>
          <w:tab w:val="left" w:pos="1202"/>
        </w:tabs>
        <w:spacing w:line="276" w:lineRule="auto"/>
        <w:jc w:val="both"/>
        <w:rPr>
          <w:rFonts w:eastAsia="Times New Roman" w:cs="Times New Roman"/>
          <w:sz w:val="24"/>
          <w:szCs w:val="24"/>
          <w:lang w:val="ro-RO"/>
        </w:rPr>
      </w:pPr>
      <w:r>
        <w:rPr>
          <w:rFonts w:eastAsia="Times New Roman" w:cs="Times New Roman"/>
          <w:sz w:val="24"/>
          <w:szCs w:val="24"/>
          <w:lang w:val="ro-RO"/>
        </w:rPr>
        <w:t>În cazul în care una sau mai multe dintre prevederile acestui SAFE sunt, din orice motiv, considerate invalide, ilegale sau inaplicabile, în totalitate sau parțial, sau în cazul în care una sau mai multe dintre prevederile acestui SAFE operează sau ar funcționa în mod potențial pentru a invalida acest SAFE, atunci și în orice astfel de caz, acea(e) prevedere(i) va fi considerată nulă și neavenită și nu va afecta nicio altă prevedere a acestui SAFE, iar prevederile rămase ale acestui SAFE vor rămâne operative și în vigoare și nu vor fi afectate, prejudiciate sau perturbate astfel.</w:t>
      </w:r>
    </w:p>
    <w:p>
      <w:pPr>
        <w:pStyle w:val="6"/>
        <w:tabs>
          <w:tab w:val="left" w:pos="1202"/>
        </w:tabs>
        <w:spacing w:line="276" w:lineRule="auto"/>
        <w:ind w:left="850"/>
        <w:jc w:val="both"/>
        <w:rPr>
          <w:rFonts w:eastAsia="Times New Roman" w:cs="Times New Roman"/>
          <w:sz w:val="24"/>
          <w:szCs w:val="24"/>
          <w:lang w:val="ro-RO"/>
        </w:rPr>
      </w:pPr>
    </w:p>
    <w:p>
      <w:pPr>
        <w:pStyle w:val="6"/>
        <w:numPr>
          <w:ilvl w:val="0"/>
          <w:numId w:val="1"/>
        </w:numPr>
        <w:spacing w:after="0" w:line="276" w:lineRule="auto"/>
        <w:jc w:val="both"/>
        <w:rPr>
          <w:rFonts w:cs="Times New Roman"/>
          <w:b/>
          <w:bCs/>
          <w:sz w:val="24"/>
          <w:szCs w:val="24"/>
          <w:lang w:val="ro-RO"/>
        </w:rPr>
      </w:pPr>
      <w:r>
        <w:rPr>
          <w:rFonts w:cs="Times New Roman"/>
          <w:b/>
          <w:bCs/>
          <w:sz w:val="24"/>
          <w:szCs w:val="24"/>
          <w:lang w:val="ro-RO"/>
        </w:rPr>
        <w:t>GARANȚII ȘI LIMITĂRI</w:t>
      </w:r>
    </w:p>
    <w:p>
      <w:pPr>
        <w:pStyle w:val="6"/>
        <w:spacing w:after="0" w:line="276" w:lineRule="auto"/>
        <w:jc w:val="both"/>
        <w:rPr>
          <w:rFonts w:cs="Times New Roman"/>
          <w:b/>
          <w:bCs/>
          <w:sz w:val="24"/>
          <w:szCs w:val="24"/>
          <w:lang w:val="ro-RO"/>
        </w:rPr>
      </w:pP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Investitorul nu are dreptul, ca deținător al acestui SAFE, de a vota sau de a fi considerat deținător de Capital Social pentru orice scop, altul decât scopurile fiscale, și nimic în acest SAFE nu va fi interpretat ca conferind Investitorului, ca atare, orice drepturi ale unui acționar al Companiei sau drepturi de a vota pentru alegerea directorilor sau pentru orice chestiune supusă acționarilor Companiei sau de a da sau reține consimțământul pentru orice acțiune corporativă sau de a primi notificări despre ședințe până când acțiunile nu au fost emise conform termenilor descriși în Secțiunea 1. Cu toate acestea, dacă Compania plătește un dividend asupra acțiunilor sale restante de Acțiuni Comune (care nu este plătibil în acțiuni de Acțiuni Comune) în timp ce acest SAFE este în vigoare, Compania va plăti Suma de Dividend Investitorului în același timp.</w:t>
      </w:r>
    </w:p>
    <w:p>
      <w:pPr>
        <w:pStyle w:val="6"/>
        <w:numPr>
          <w:ilvl w:val="1"/>
          <w:numId w:val="1"/>
        </w:numPr>
        <w:spacing w:after="0" w:line="276" w:lineRule="auto"/>
        <w:jc w:val="both"/>
        <w:rPr>
          <w:rFonts w:cs="Times New Roman"/>
          <w:sz w:val="24"/>
          <w:szCs w:val="24"/>
          <w:lang w:val="ro-RO"/>
        </w:rPr>
      </w:pPr>
      <w:r>
        <w:rPr>
          <w:rFonts w:cs="Times New Roman"/>
          <w:sz w:val="24"/>
          <w:szCs w:val="24"/>
          <w:lang w:val="ro-RO"/>
        </w:rPr>
        <w:t>Nici acest SAFE și nici drepturile în acest SAFE nu sunt transferabile sau cesionabile prin aplicarea legii sau altfel de niciuna dintre părți fără consimțământul scris prealabil al celeilalte; cu condiția ca acest SAFE și/sau drepturile sale să poată fi cesionate fără consimțământul Companiei de către Investitor (i) către moștenitorii, executorii, administratorii, tutorii și/sau succesorii Investitorului în cazul decesului sau incapacității Investitorului sau (ii) către orice altă entitate care controlează direct sau indirect, este controlată de sau este sub control comun cu Investitorul, inclusiv, dar fără a se limita la, orice partener general, membru executiv, ofițer sau director al Investitorului sau orice fond de capital de risc care există acum sau ulterior care este controlat de unul sau mai mulți parteneri generali sau membri executivi ai sau împarte aceeași companie de management cu Investitorul.</w:t>
      </w:r>
    </w:p>
    <w:p>
      <w:pPr>
        <w:pStyle w:val="6"/>
        <w:spacing w:after="0" w:line="276" w:lineRule="auto"/>
        <w:ind w:left="450"/>
        <w:jc w:val="both"/>
        <w:rPr>
          <w:rFonts w:cs="Times New Roman"/>
          <w:sz w:val="24"/>
          <w:szCs w:val="24"/>
          <w:lang w:val="ro-RO"/>
        </w:rPr>
      </w:pPr>
    </w:p>
    <w:p>
      <w:pPr>
        <w:pStyle w:val="6"/>
        <w:numPr>
          <w:ilvl w:val="0"/>
          <w:numId w:val="1"/>
        </w:numPr>
        <w:spacing w:after="0" w:line="276" w:lineRule="auto"/>
        <w:jc w:val="both"/>
        <w:rPr>
          <w:rFonts w:cs="Times New Roman"/>
          <w:b/>
          <w:bCs/>
          <w:sz w:val="24"/>
          <w:szCs w:val="24"/>
          <w:lang w:val="ro-RO"/>
        </w:rPr>
      </w:pPr>
      <w:r>
        <w:rPr>
          <w:rFonts w:cs="Times New Roman"/>
          <w:b/>
          <w:bCs/>
          <w:sz w:val="24"/>
          <w:szCs w:val="24"/>
          <w:lang w:val="ro-RO"/>
        </w:rPr>
        <w:t>SEMNĂTURI</w:t>
      </w:r>
    </w:p>
    <w:p>
      <w:pPr>
        <w:spacing w:after="0" w:line="276" w:lineRule="auto"/>
        <w:jc w:val="both"/>
        <w:rPr>
          <w:rFonts w:cs="Times New Roman"/>
          <w:b/>
          <w:bCs/>
          <w:sz w:val="24"/>
          <w:szCs w:val="24"/>
          <w:lang w:val="ro-RO"/>
        </w:rPr>
      </w:pPr>
    </w:p>
    <w:tbl>
      <w:tblPr>
        <w:tblStyle w:val="3"/>
        <w:tblW w:w="9072" w:type="dxa"/>
        <w:tblInd w:w="279" w:type="dxa"/>
        <w:tblLayout w:type="autofit"/>
        <w:tblCellMar>
          <w:top w:w="15" w:type="dxa"/>
          <w:left w:w="15" w:type="dxa"/>
          <w:bottom w:w="15" w:type="dxa"/>
          <w:right w:w="15" w:type="dxa"/>
        </w:tblCellMar>
      </w:tblPr>
      <w:tblGrid>
        <w:gridCol w:w="4536"/>
        <w:gridCol w:w="4536"/>
      </w:tblGrid>
      <w:tr>
        <w:tblPrEx>
          <w:tblCellMar>
            <w:top w:w="15" w:type="dxa"/>
            <w:left w:w="15" w:type="dxa"/>
            <w:bottom w:w="15" w:type="dxa"/>
            <w:right w:w="15" w:type="dxa"/>
          </w:tblCellMar>
        </w:tblPrEx>
        <w:trPr>
          <w:trHeight w:val="527" w:hRule="atLeast"/>
        </w:trPr>
        <w:tc>
          <w:tcPr>
            <w:tcW w:w="4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76" w:lineRule="auto"/>
              <w:jc w:val="center"/>
              <w:rPr>
                <w:rFonts w:eastAsia="Times New Roman" w:cs="Times New Roman"/>
                <w:b/>
                <w:bCs/>
                <w:sz w:val="24"/>
                <w:szCs w:val="24"/>
                <w:lang w:val="ro-RO"/>
              </w:rPr>
            </w:pPr>
            <w:r>
              <w:rPr>
                <w:rFonts w:eastAsia="Times New Roman" w:cs="Times New Roman"/>
                <w:b/>
                <w:bCs/>
                <w:sz w:val="24"/>
                <w:szCs w:val="24"/>
                <w:lang w:val="ro-RO"/>
              </w:rPr>
              <w:t>COMPANIA</w:t>
            </w:r>
          </w:p>
        </w:tc>
        <w:tc>
          <w:tcPr>
            <w:tcW w:w="4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76" w:lineRule="auto"/>
              <w:jc w:val="center"/>
              <w:rPr>
                <w:rFonts w:eastAsia="Times New Roman" w:cs="Times New Roman"/>
                <w:b/>
                <w:bCs/>
                <w:sz w:val="24"/>
                <w:szCs w:val="24"/>
                <w:lang w:val="ro-RO"/>
              </w:rPr>
            </w:pPr>
            <w:r>
              <w:rPr>
                <w:rFonts w:eastAsia="Times New Roman" w:cs="Times New Roman"/>
                <w:b/>
                <w:bCs/>
                <w:sz w:val="24"/>
                <w:szCs w:val="24"/>
                <w:lang w:val="ro-RO"/>
              </w:rPr>
              <w:t>INVESTITORUL</w:t>
            </w:r>
          </w:p>
        </w:tc>
      </w:tr>
      <w:tr>
        <w:tblPrEx>
          <w:tblCellMar>
            <w:top w:w="15" w:type="dxa"/>
            <w:left w:w="15" w:type="dxa"/>
            <w:bottom w:w="15" w:type="dxa"/>
            <w:right w:w="15" w:type="dxa"/>
          </w:tblCellMar>
        </w:tblPrEx>
        <w:trPr>
          <w:trHeight w:val="517" w:hRule="atLeast"/>
        </w:trPr>
        <w:tc>
          <w:tcPr>
            <w:tcW w:w="4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76" w:lineRule="auto"/>
              <w:jc w:val="center"/>
              <w:rPr>
                <w:rFonts w:eastAsia="Times New Roman" w:cs="Times New Roman"/>
                <w:i/>
                <w:iCs/>
                <w:sz w:val="24"/>
                <w:szCs w:val="24"/>
                <w:lang w:val="ro-RO"/>
              </w:rPr>
            </w:pPr>
            <w:r>
              <w:rPr>
                <w:rFonts w:eastAsia="Times New Roman" w:cs="Times New Roman"/>
                <w:i/>
                <w:iCs/>
                <w:sz w:val="24"/>
                <w:szCs w:val="24"/>
                <w:lang w:val="ro-RO"/>
              </w:rPr>
              <w:t>Nume Prenume, Funcție</w:t>
            </w:r>
          </w:p>
        </w:tc>
        <w:tc>
          <w:tcPr>
            <w:tcW w:w="4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76" w:lineRule="auto"/>
              <w:jc w:val="center"/>
              <w:rPr>
                <w:rFonts w:eastAsia="Times New Roman" w:cs="Times New Roman"/>
                <w:i/>
                <w:iCs/>
                <w:sz w:val="24"/>
                <w:szCs w:val="24"/>
                <w:lang w:val="ro-RO"/>
              </w:rPr>
            </w:pPr>
            <w:r>
              <w:rPr>
                <w:rFonts w:eastAsia="Times New Roman" w:cs="Times New Roman"/>
                <w:i/>
                <w:iCs/>
                <w:sz w:val="24"/>
                <w:szCs w:val="24"/>
                <w:lang w:val="ro-RO"/>
              </w:rPr>
              <w:t>Nume Prenume, Funcție</w:t>
            </w:r>
          </w:p>
        </w:tc>
      </w:tr>
      <w:tr>
        <w:tblPrEx>
          <w:tblCellMar>
            <w:top w:w="15" w:type="dxa"/>
            <w:left w:w="15" w:type="dxa"/>
            <w:bottom w:w="15" w:type="dxa"/>
            <w:right w:w="15" w:type="dxa"/>
          </w:tblCellMar>
        </w:tblPrEx>
        <w:tc>
          <w:tcPr>
            <w:tcW w:w="4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jc w:val="center"/>
              <w:rPr>
                <w:rFonts w:eastAsia="Times New Roman" w:cs="Times New Roman"/>
                <w:sz w:val="24"/>
                <w:szCs w:val="24"/>
                <w:lang w:val="ro-RO"/>
              </w:rPr>
            </w:pPr>
          </w:p>
          <w:p>
            <w:pPr>
              <w:spacing w:line="276" w:lineRule="auto"/>
              <w:jc w:val="center"/>
              <w:rPr>
                <w:rFonts w:eastAsia="Times New Roman" w:cs="Times New Roman"/>
                <w:sz w:val="24"/>
                <w:szCs w:val="24"/>
                <w:lang w:val="ro-RO"/>
              </w:rPr>
            </w:pPr>
            <w:r>
              <w:rPr>
                <w:rFonts w:eastAsia="Times New Roman" w:cs="Times New Roman"/>
                <w:sz w:val="24"/>
                <w:szCs w:val="24"/>
                <w:lang w:val="ro-RO"/>
              </w:rPr>
              <w:t>_____________________________ semnătura</w:t>
            </w:r>
          </w:p>
        </w:tc>
        <w:tc>
          <w:tcPr>
            <w:tcW w:w="4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jc w:val="center"/>
              <w:rPr>
                <w:rFonts w:eastAsia="Times New Roman" w:cs="Times New Roman"/>
                <w:sz w:val="24"/>
                <w:szCs w:val="24"/>
                <w:lang w:val="ro-RO"/>
              </w:rPr>
            </w:pPr>
          </w:p>
          <w:p>
            <w:pPr>
              <w:spacing w:line="276" w:lineRule="auto"/>
              <w:jc w:val="center"/>
              <w:rPr>
                <w:rFonts w:eastAsia="Times New Roman" w:cs="Times New Roman"/>
                <w:sz w:val="24"/>
                <w:szCs w:val="24"/>
                <w:lang w:val="ro-RO"/>
              </w:rPr>
            </w:pPr>
            <w:r>
              <w:rPr>
                <w:rFonts w:eastAsia="Times New Roman" w:cs="Times New Roman"/>
                <w:sz w:val="24"/>
                <w:szCs w:val="24"/>
                <w:lang w:val="ro-RO"/>
              </w:rPr>
              <w:t>_____________________________ semnătura</w:t>
            </w:r>
          </w:p>
        </w:tc>
      </w:tr>
    </w:tbl>
    <w:p>
      <w:pPr>
        <w:spacing w:after="0" w:line="276" w:lineRule="auto"/>
        <w:jc w:val="both"/>
        <w:rPr>
          <w:rFonts w:cs="Times New Roman"/>
          <w:b/>
          <w:bCs/>
          <w:sz w:val="24"/>
          <w:szCs w:val="24"/>
          <w:lang w:val="ro-RO"/>
        </w:rPr>
      </w:pPr>
    </w:p>
    <w:sectPr>
      <w:headerReference r:id="rId5" w:type="default"/>
      <w:footerReference r:id="rId6" w:type="default"/>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5135161"/>
      <w:docPartObj>
        <w:docPartGallery w:val="AutoText"/>
      </w:docPartObj>
    </w:sdtPr>
    <w:sdtContent>
      <w:p>
        <w:pPr>
          <w:pStyle w:val="4"/>
          <w:jc w:val="center"/>
        </w:pPr>
        <w:r>
          <w:t xml:space="preserve">Pagina </w:t>
        </w:r>
        <w:r>
          <w:fldChar w:fldCharType="begin"/>
        </w:r>
        <w:r>
          <w:instrText xml:space="preserve"> PAGE   \* MERGEFORMAT </w:instrText>
        </w:r>
        <w:r>
          <w:fldChar w:fldCharType="separate"/>
        </w:r>
        <w:r>
          <w:t>2</w:t>
        </w:r>
        <w:r>
          <w:fldChar w:fldCharType="end"/>
        </w:r>
        <w:r>
          <w:t xml:space="preserve"> din 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rFonts w:hint="default"/>
        <w:lang w:val="en-US"/>
      </w:rPr>
      <w:drawing>
        <wp:inline distT="0" distB="0" distL="114300" distR="114300">
          <wp:extent cx="1192530" cy="329565"/>
          <wp:effectExtent l="0" t="0" r="11430" b="5715"/>
          <wp:docPr id="1" name="Picture 1" descr="Negru+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gru+Verde"/>
                  <pic:cNvPicPr>
                    <a:picLocks noChangeAspect="1"/>
                  </pic:cNvPicPr>
                </pic:nvPicPr>
                <pic:blipFill>
                  <a:blip r:embed="rId1"/>
                  <a:stretch>
                    <a:fillRect/>
                  </a:stretch>
                </pic:blipFill>
                <pic:spPr>
                  <a:xfrm>
                    <a:off x="0" y="0"/>
                    <a:ext cx="1192530" cy="3295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A2131"/>
    <w:multiLevelType w:val="multilevel"/>
    <w:tmpl w:val="376A2131"/>
    <w:lvl w:ilvl="0" w:tentative="0">
      <w:start w:val="1"/>
      <w:numFmt w:val="decimal"/>
      <w:lvlText w:val="%1."/>
      <w:lvlJc w:val="left"/>
      <w:pPr>
        <w:ind w:left="720" w:hanging="360"/>
      </w:pPr>
      <w:rPr>
        <w:rFonts w:hint="default"/>
        <w:b/>
        <w:bCs/>
      </w:rPr>
    </w:lvl>
    <w:lvl w:ilvl="1" w:tentative="0">
      <w:start w:val="1"/>
      <w:numFmt w:val="decimal"/>
      <w:isLgl/>
      <w:lvlText w:val="%1.%2."/>
      <w:lvlJc w:val="left"/>
      <w:pPr>
        <w:ind w:left="850" w:hanging="49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
    <w:nsid w:val="73154905"/>
    <w:multiLevelType w:val="multilevel"/>
    <w:tmpl w:val="731549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19"/>
    <w:rsid w:val="00065F76"/>
    <w:rsid w:val="0013749F"/>
    <w:rsid w:val="00167246"/>
    <w:rsid w:val="003A46C8"/>
    <w:rsid w:val="00416006"/>
    <w:rsid w:val="004E65F3"/>
    <w:rsid w:val="006C0B77"/>
    <w:rsid w:val="007301A3"/>
    <w:rsid w:val="00816E45"/>
    <w:rsid w:val="008242FF"/>
    <w:rsid w:val="00870751"/>
    <w:rsid w:val="008A0119"/>
    <w:rsid w:val="008B3FA5"/>
    <w:rsid w:val="00922C48"/>
    <w:rsid w:val="00A35968"/>
    <w:rsid w:val="00AA07BA"/>
    <w:rsid w:val="00AE78ED"/>
    <w:rsid w:val="00AF2401"/>
    <w:rsid w:val="00B915B7"/>
    <w:rsid w:val="00C0108A"/>
    <w:rsid w:val="00E957B6"/>
    <w:rsid w:val="00EA59DF"/>
    <w:rsid w:val="00EE4070"/>
    <w:rsid w:val="00F12C76"/>
    <w:rsid w:val="066C515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40" w:lineRule="auto"/>
    </w:pPr>
    <w:rPr>
      <w:rFonts w:ascii="Times New Roman" w:hAnsi="Times New Roman" w:eastAsiaTheme="minorHAnsi" w:cstheme="minorBidi"/>
      <w:sz w:val="28"/>
      <w:szCs w:val="22"/>
      <w:lang w:val="en-US" w:eastAsia="en-US" w:bidi="ar-SA"/>
      <w14:ligatures w14:val="standardContextual"/>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844"/>
        <w:tab w:val="right" w:pos="9689"/>
      </w:tabs>
      <w:spacing w:after="0"/>
    </w:pPr>
  </w:style>
  <w:style w:type="paragraph" w:styleId="5">
    <w:name w:val="header"/>
    <w:basedOn w:val="1"/>
    <w:link w:val="7"/>
    <w:unhideWhenUsed/>
    <w:uiPriority w:val="99"/>
    <w:pPr>
      <w:tabs>
        <w:tab w:val="center" w:pos="4844"/>
        <w:tab w:val="right" w:pos="9689"/>
      </w:tabs>
      <w:spacing w:after="0"/>
    </w:pPr>
  </w:style>
  <w:style w:type="paragraph" w:styleId="6">
    <w:name w:val="List Paragraph"/>
    <w:basedOn w:val="1"/>
    <w:qFormat/>
    <w:uiPriority w:val="34"/>
    <w:pPr>
      <w:ind w:left="720"/>
      <w:contextualSpacing/>
    </w:pPr>
  </w:style>
  <w:style w:type="character" w:customStyle="1" w:styleId="7">
    <w:name w:val="Antet Caracter"/>
    <w:basedOn w:val="2"/>
    <w:link w:val="5"/>
    <w:uiPriority w:val="99"/>
    <w:rPr>
      <w:rFonts w:ascii="Times New Roman" w:hAnsi="Times New Roman"/>
      <w:sz w:val="28"/>
    </w:rPr>
  </w:style>
  <w:style w:type="character" w:customStyle="1" w:styleId="8">
    <w:name w:val="Subsol Caracter"/>
    <w:basedOn w:val="2"/>
    <w:link w:val="4"/>
    <w:qFormat/>
    <w:uiPriority w:val="99"/>
    <w:rPr>
      <w:rFonts w:ascii="Times New Roman" w:hAnsi="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3066</Words>
  <Characters>17482</Characters>
  <Lines>145</Lines>
  <Paragraphs>41</Paragraphs>
  <TotalTime>1</TotalTime>
  <ScaleCrop>false</ScaleCrop>
  <LinksUpToDate>false</LinksUpToDate>
  <CharactersWithSpaces>20507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2024-05-25T18:30:00Z</dcterms:created>
  <dc:creator>ADMIN</dc:creator>
  <cp:lastModifiedBy>Communication</cp:lastModifiedBy>
  <dcterms:modified xsi:type="dcterms:W3CDTF">2024-05-29T08:51:22Z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F78759D2731C4B5089E581C4E7D523B2_12</vt:lpwstr>
  </property>
</Properties>
</file>